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9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к государственной программе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"Развитие образования и науки Брянской области"</w:t>
      </w:r>
    </w:p>
    <w:p>
      <w:pPr>
        <w:pStyle w:val="ConsPlus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Порядок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предоставления субсидий бюджетам муниципальных районов 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(муниципальных округов, городских округов) на софинансирование объектов 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капитальных вложений муниципальной собственности 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в рамках государственной программы 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"Развитие образования и науки Брянской области"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 Настоящий Порядок устанавливает цели и условия предоставления субсидий из областного бюджета бюджетам муниципальных районов (муниципальных округов, городских округов) (далее - муниципальные образования) на софинансирование объектов капитальных вложений в рамках государственной программы "Развитие образования и науки Брянской области", критерии отбора муниципальных образований для предоставления субсидий (далее соответственно - субсидии, Программа), критерии отбора муниципальных образований для предоставления субсидий, порядок отчетности об использовании субсидий, а также критерии оценки эффективности использования муниципальными образованиями предоставляемых субсидий.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строительство и реконструкцию объектов образования (далее - мероприятия), утвержденных уполномоченным органом местного самоуправления муниципального образования.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 Отбор муниципальных образований осуществляет департамент строительства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4. Критериями отбора муниципальных образований для предоставления субсидий являются: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потребность муниципального образования в обеспечении доступа к услугам объектов дошкольного, общего и дополнительного образования, наличие указанных объектов с высоким процентом износа либо не соответствующих действующим нормам и требованиям;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наличие утвержденной в установленном порядке проектно-сметной документации, соответствующей нормативным требованиям, прошедшей государственную экспертизу в случаях, установленных законодательством, и имеющей положительное заключение государственной экспертизы, либо обязательство органа местного самоуправления, предусматривающее обеспечение разработки и проведения государственной экспертизы проектной документации в срок до 30 календарных дней после утверждения региональной адресной инвестиционной программы на соответствующий финансовый год;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наличие объектов незавершенного строительства;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наличие кредиторской задолженности у муниципального образования, сложившейся по обязательствам областного бюджета предыдущего финансового года.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0" w:name="P11465"/>
      <w:bookmarkEnd w:id="0"/>
      <w:r>
        <w:rPr>
          <w:rFonts w:cs="Times New Roman" w:ascii="Times New Roman" w:hAnsi="Times New Roman"/>
        </w:rPr>
        <w:t>5. Распределение субсидий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 Перечень объектов капитальных вложений утверждается нормативными правовыми актами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1" w:name="P11467"/>
      <w:bookmarkEnd w:id="1"/>
      <w:r>
        <w:rPr>
          <w:rFonts w:cs="Times New Roman" w:ascii="Times New Roman" w:hAnsi="Times New Roman"/>
        </w:rPr>
        <w:t>6. Условиями предоставления субсидии являются: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2" w:name="P11468"/>
      <w:bookmarkEnd w:id="2"/>
      <w:r>
        <w:rPr>
          <w:rFonts w:cs="Times New Roman" w:ascii="Times New Roman" w:hAnsi="Times New Roman"/>
        </w:rPr>
        <w:t>а) наличие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б) заключение соглашения между департаментом строительства Брянской области с органами местного самоуправления о предоставлении субсидии (далее - соглашение) в соответствии с </w:t>
      </w:r>
      <w:hyperlink r:id="rId2">
        <w:r>
          <w:rPr>
            <w:rFonts w:cs="Times New Roman" w:ascii="Times New Roman" w:hAnsi="Times New Roman"/>
          </w:rPr>
          <w:t>пунктом 10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г. № 362-п "Об утверждении Правил формирования, предоставления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7. Эффективность использования муниципальными образованиями предоставленных субсидий оценивается департаментом строительства Брянской области на основании отчетов органов местного самоуправления муниципальных образований о произведенных расходах и выполнении показателей результатов использования субсидий. Показателем результата использования субсидии является количество мест, площадь (кв. м) или пропускная способность (посещений в смену, человек в смену) введенных в эксплуатацию учреждений образования.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3" w:name="P11472"/>
      <w:bookmarkEnd w:id="3"/>
      <w:r>
        <w:rPr>
          <w:rFonts w:cs="Times New Roman" w:ascii="Times New Roman" w:hAnsi="Times New Roman"/>
        </w:rPr>
        <w:t xml:space="preserve">8. Предоставление субсидии осуществляется в соответствии с </w:t>
      </w:r>
      <w:hyperlink w:anchor="P11465">
        <w:r>
          <w:rPr>
            <w:rFonts w:cs="Times New Roman" w:ascii="Times New Roman" w:hAnsi="Times New Roman"/>
          </w:rPr>
          <w:t>пунктом 6</w:t>
        </w:r>
      </w:hyperlink>
      <w:r>
        <w:rPr>
          <w:rFonts w:cs="Times New Roman" w:ascii="Times New Roman" w:hAnsi="Times New Roman"/>
        </w:rPr>
        <w:t xml:space="preserve"> настоящего Порядка и соглашением, подготовленным и заключенным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3">
        <w:r>
          <w:rPr>
            <w:rFonts w:cs="Times New Roman" w:ascii="Times New Roman" w:hAnsi="Times New Roman"/>
          </w:rPr>
          <w:t>пунктов 10</w:t>
        </w:r>
      </w:hyperlink>
      <w:r>
        <w:rPr>
          <w:rFonts w:cs="Times New Roman" w:ascii="Times New Roman" w:hAnsi="Times New Roman"/>
        </w:rPr>
        <w:t xml:space="preserve">, </w:t>
      </w:r>
      <w:hyperlink r:id="rId4">
        <w:r>
          <w:rPr>
            <w:rFonts w:cs="Times New Roman" w:ascii="Times New Roman" w:hAnsi="Times New Roman"/>
          </w:rPr>
          <w:t>11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субсидий.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</w:rPr>
        <w:t xml:space="preserve">9. </w:t>
      </w:r>
      <w:r>
        <w:rPr>
          <w:rFonts w:cs="Times New Roman" w:ascii="Times New Roman" w:hAnsi="Times New Roman"/>
          <w:sz w:val="24"/>
          <w:szCs w:val="24"/>
        </w:rPr>
        <w:t>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10. 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11.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результатов использования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12. Оценка эффективности использования муниципальным образованием субсидии осуществляется департаментом образования и науки Брянской области исходя из достигнутых значений результатов использования субсидии, предусмотренных </w:t>
      </w:r>
      <w:hyperlink w:anchor="P11467">
        <w:r>
          <w:rPr>
            <w:rFonts w:cs="Times New Roman" w:ascii="Times New Roman" w:hAnsi="Times New Roman"/>
          </w:rPr>
          <w:t>пунктом 7</w:t>
        </w:r>
      </w:hyperlink>
      <w:r>
        <w:rPr>
          <w:rFonts w:cs="Times New Roman" w:ascii="Times New Roman" w:hAnsi="Times New Roman"/>
        </w:rPr>
        <w:t xml:space="preserve"> настоящего Порядка.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13. Уполномоченный орган местного самоуправления муниципального образования представляет отчетную информацию, установленную соглашением, предусмотренным </w:t>
      </w:r>
      <w:hyperlink w:anchor="P11472">
        <w:r>
          <w:rPr>
            <w:rFonts w:cs="Times New Roman" w:ascii="Times New Roman" w:hAnsi="Times New Roman"/>
          </w:rPr>
          <w:t>пунктом 8</w:t>
        </w:r>
      </w:hyperlink>
      <w:r>
        <w:rPr>
          <w:rFonts w:cs="Times New Roman" w:ascii="Times New Roman" w:hAnsi="Times New Roman"/>
        </w:rPr>
        <w:t xml:space="preserve"> настоящего Порядка.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14. Перечисление субсидий осуществляется в установленном порядке на счета,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образований.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15.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5">
        <w:r>
          <w:rPr>
            <w:rFonts w:cs="Times New Roman" w:ascii="Times New Roman" w:hAnsi="Times New Roman"/>
          </w:rPr>
          <w:t>подпунктом "б" пункта 10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</w:t>
      </w:r>
      <w:hyperlink r:id="rId6">
        <w:r>
          <w:rPr>
            <w:rFonts w:cs="Times New Roman" w:ascii="Times New Roman" w:hAnsi="Times New Roman"/>
          </w:rPr>
          <w:t>пунктом 16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16.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7">
        <w:r>
          <w:rPr>
            <w:rFonts w:cs="Times New Roman" w:ascii="Times New Roman" w:hAnsi="Times New Roman"/>
          </w:rPr>
          <w:t>подпунктом "в" пункта 10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субсидий, и в срок до 1 апреля года, следующего за годом предоставления субсидии, указанные нарушения не устранены, объем средств, соответствующий 10 процентам объема средств, предусмотренного на год, в котором допущены нарушения указанных обязательств, размеру субсидии на софинансирование капитальных вложений в объекты муниципальной собственности, по которым допущено нарушение графика выполнения мероприятий по проектированию и (или) строительству (реконструкции, техническому перевооружению) объектов капитального строительства и (или) приобретению объектов недвижимого имущества, без учета размера остатка субсидии по указанным объектам муниципальной собственности, не использованного по состоянию на 1 января текущего финансового года, подлежит возврату из бюджета муниципального образования в доход областного бюджета в срок до 1 июня года, следующего за годом предоставления субсидии, если местной администрацией, допустившей нарушение соответствующих обязательств, не позднее 15 апреля года, следующего за годом предоставления субсидии, не представлены документы, предусмотренные </w:t>
      </w:r>
      <w:hyperlink r:id="rId8">
        <w:r>
          <w:rPr>
            <w:rFonts w:cs="Times New Roman" w:ascii="Times New Roman" w:hAnsi="Times New Roman"/>
          </w:rPr>
          <w:t>пунктом 20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В случае одновременного нарушения муниципальным образованием обязательств, предусмотренных соглашением в соответствии с </w:t>
      </w:r>
      <w:hyperlink r:id="rId9">
        <w:r>
          <w:rPr>
            <w:rFonts w:cs="Times New Roman" w:ascii="Times New Roman" w:hAnsi="Times New Roman"/>
          </w:rPr>
          <w:t>подпунктами "б"</w:t>
        </w:r>
      </w:hyperlink>
      <w:r>
        <w:rPr>
          <w:rFonts w:cs="Times New Roman" w:ascii="Times New Roman" w:hAnsi="Times New Roman"/>
        </w:rPr>
        <w:t xml:space="preserve">, </w:t>
      </w:r>
      <w:hyperlink r:id="rId10">
        <w:r>
          <w:rPr>
            <w:rFonts w:cs="Times New Roman" w:ascii="Times New Roman" w:hAnsi="Times New Roman"/>
          </w:rPr>
          <w:t>"в" пункта 10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субсидий, возврату подлежит объем средств, соответствующий размеру субсидии на софинансирование капитальных вложений в объекты муниципальной собственности, определенный в соответствии с </w:t>
      </w:r>
      <w:hyperlink r:id="rId11">
        <w:r>
          <w:rPr>
            <w:rFonts w:cs="Times New Roman" w:ascii="Times New Roman" w:hAnsi="Times New Roman"/>
          </w:rPr>
          <w:t>абзацем первым пункта 19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17. Освобождение муниципального образования от применения мер ответственности, предусмотренных </w:t>
      </w:r>
      <w:hyperlink r:id="rId12">
        <w:r>
          <w:rPr>
            <w:rFonts w:cs="Times New Roman" w:ascii="Times New Roman" w:hAnsi="Times New Roman"/>
          </w:rPr>
          <w:t>пунктом 16</w:t>
        </w:r>
      </w:hyperlink>
      <w:r>
        <w:rPr>
          <w:rFonts w:cs="Times New Roman" w:ascii="Times New Roman" w:hAnsi="Times New Roman"/>
        </w:rPr>
        <w:t xml:space="preserve">, </w:t>
      </w:r>
      <w:hyperlink r:id="rId13">
        <w:r>
          <w:rPr>
            <w:rFonts w:cs="Times New Roman" w:ascii="Times New Roman" w:hAnsi="Times New Roman"/>
          </w:rPr>
          <w:t>19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субсидий, в том числе возврата средств в доход областного бюджета, осуществляется в соответствии с </w:t>
      </w:r>
      <w:hyperlink r:id="rId14">
        <w:r>
          <w:rPr>
            <w:rFonts w:cs="Times New Roman" w:ascii="Times New Roman" w:hAnsi="Times New Roman"/>
          </w:rPr>
          <w:t>пунктом 20</w:t>
        </w:r>
      </w:hyperlink>
      <w:r>
        <w:rPr>
          <w:rFonts w:cs="Times New Roman" w:ascii="Times New Roman" w:hAnsi="Times New Roman"/>
        </w:rPr>
        <w:t xml:space="preserve"> указанных Правил.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18. Органы местного самоуправления муниципальных образований обеспечивают целевое и эффективное использование бюджетных средств. Департамент строительства Брянской области осуществляет контроль за целевым использованием бюджетных средств, в том числе через ГКУ "Управление капитального строительства Брянской области".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19. </w:t>
      </w:r>
      <w:r>
        <w:rPr>
          <w:rFonts w:cs="Times New Roman" w:ascii="Times New Roman" w:hAnsi="Times New Roman"/>
          <w:sz w:val="24"/>
          <w:szCs w:val="24"/>
        </w:rPr>
        <w:t xml:space="preserve">В случае нецелевого использования субсидии </w:t>
      </w:r>
      <w:r>
        <w:rPr>
          <w:rFonts w:cs="Times New Roman" w:ascii="Times New Roman" w:hAnsi="Times New Roman"/>
        </w:rPr>
        <w:t>муниципальным образованием</w:t>
      </w:r>
      <w:r>
        <w:rPr>
          <w:rFonts w:cs="Times New Roman" w:ascii="Times New Roman" w:hAnsi="Times New Roman"/>
          <w:sz w:val="24"/>
          <w:szCs w:val="24"/>
        </w:rPr>
        <w:t xml:space="preserve"> к нему применяются бюджетные меры принуждения, предусмотренные бюджетным законодательством Российской Федерации.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20. При заключении соглашения уполномоченный орган муниципального образования представляет в департамент строительства Брянской области отчет об исполнении условий предоставления субсидий, предусмотренных </w:t>
      </w:r>
      <w:hyperlink w:anchor="P11468">
        <w:r>
          <w:rPr>
            <w:rFonts w:cs="Times New Roman" w:ascii="Times New Roman" w:hAnsi="Times New Roman"/>
          </w:rPr>
          <w:t>подпунктом "а" пункта 6</w:t>
        </w:r>
      </w:hyperlink>
      <w:r>
        <w:rPr>
          <w:rFonts w:cs="Times New Roman" w:ascii="Times New Roman" w:hAnsi="Times New Roman"/>
        </w:rPr>
        <w:t xml:space="preserve"> настоящего Порядка.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21. Неиспользованные по состоянию на 1 января очередного финансового года остатки средств субсидии подлежат возврату в областной бюджет.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22. Контроль за соблюдением муниципальным образованием условий предоставления субсидии осуществляется департаментом строительства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Методика</w:t>
      </w:r>
    </w:p>
    <w:p>
      <w:pPr>
        <w:pStyle w:val="ConsPlusNormal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распределения субсидий бюджетам муниципальных районов (муниципальных округов, городских округов) на софинансирование объектов капитальных вложений муниципальной собственности в рамках государственной программы «Развитие образования и науки Брянской области»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Субсидии предоставляются бюджетам муниципальных районов (муниципальных округов, городских округов) на софинансирование объектов капитальных вложений муниципальной собственности в рамках государственной программы «Развитие образования и науки Брянской области».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Субсидия распределяется между муниципальными образованиями по следующей формуле:</w:t>
      </w:r>
    </w:p>
    <w:p>
      <w:pPr>
        <w:pStyle w:val="ConsPlusNormal"/>
        <w:spacing w:before="220" w:after="0"/>
        <w:ind w:firstLine="54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Ci = C x Vi / V, где: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Ci - размер субсидии бюджету i-го муниципального образования на соответствующий финансовый год;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C - общий объем субсидий, выделяемых бюджетам муниципальных районов (муниципальных округов, городских округов) на софинансирование объектов капитальных вложений муниципальной собственности в рамках государственной программы «Развитие образования и науки Брянской области» на соответствующий финансовый год;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V - общий объем средств, определяемый департаментом строительства Брянской области, согласно представленным муниципальными образованиями заявкам на софинансирование объектов капитальных вложений муниципальной собственности в рамках государственной программы «Развитие образования и науки Брянской области» на соответствующий финансовый год;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Vi - объем средств, необходимый i-му муниципальному образованию на софинансирование объектов капитальных вложений муниципальной собственности в рамках государственной программы «Развитие образования и науки Брянской области» на соответствующий финансовый год, согласно представленной заявке.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/>
      </w:r>
    </w:p>
    <w:sectPr>
      <w:type w:val="nextPage"/>
      <w:pgSz w:w="11906" w:h="16838"/>
      <w:pgMar w:left="1701" w:right="851" w:header="0" w:top="851" w:footer="0" w:bottom="851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Cell" w:customStyle="1">
    <w:name w:val="ConsPlusCel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DocList" w:customStyle="1">
    <w:name w:val="ConsPlusDoc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TitlePage" w:customStyle="1">
    <w:name w:val="ConsPlusTitlePag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paragraph" w:styleId="ConsPlusJurTerm" w:customStyle="1">
    <w:name w:val="ConsPlusJurTerm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6"/>
      <w:szCs w:val="20"/>
      <w:lang w:eastAsia="ru-RU" w:val="ru-RU" w:bidi="ar-SA"/>
    </w:rPr>
  </w:style>
  <w:style w:type="paragraph" w:styleId="ConsPlusTextList" w:customStyle="1">
    <w:name w:val="ConsPlusText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ListParagraph">
    <w:name w:val="List Paragraph"/>
    <w:basedOn w:val="Normal"/>
    <w:uiPriority w:val="34"/>
    <w:qFormat/>
    <w:rsid w:val="002369a4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3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4" Type="http://schemas.openxmlformats.org/officeDocument/2006/relationships/hyperlink" Target="consultantplus://offline/ref=96459022ABE20A108D85BEE2D3621143054DC5C34EB520EB0F6C35846B7A5EF7567D569A7C466B9DE88CC2F6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3F255F1BFE8DB7976766ECB33022F6DD0sAq0F" TargetMode="External"/><Relationship Id="rId6" Type="http://schemas.openxmlformats.org/officeDocument/2006/relationships/hyperlink" Target="consultantplus://offline/ref=96459022ABE20A108D85BEE2D3621143054DC5C34EB520EB0F6C35846B7A5EF7567D569A7C466B9DE88CC0F555F1BFE8DB7976766ECB33022F6DD0sAq0F" TargetMode="External"/><Relationship Id="rId7" Type="http://schemas.openxmlformats.org/officeDocument/2006/relationships/hyperlink" Target="consultantplus://offline/ref=96459022ABE20A108D85BEE2D3621143054DC5C34EB520EB0F6C35846B7A5EF7567D569A7C466B9DE88CC3F355F1BFE8DB7976766ECB33022F6DD0sAq0F" TargetMode="External"/><Relationship Id="rId8" Type="http://schemas.openxmlformats.org/officeDocument/2006/relationships/hyperlink" Target="consultantplus://offline/ref=96459022ABE20A108D85BEE2D3621143054DC5C34EB520EB0F6C35846B7A5EF7567D569A7C466B9DE88CCEF755F1BFE8DB7976766ECB33022F6DD0sAq0F" TargetMode="External"/><Relationship Id="rId9" Type="http://schemas.openxmlformats.org/officeDocument/2006/relationships/hyperlink" Target="consultantplus://offline/ref=96459022ABE20A108D85BEE2D3621143054DC5C34EB520EB0F6C35846B7A5EF7567D569A7C466B9DE88CC3F2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CC3F355F1BFE8DB7976766ECB33022F6DD0sAq0F" TargetMode="External"/><Relationship Id="rId11" Type="http://schemas.openxmlformats.org/officeDocument/2006/relationships/hyperlink" Target="consultantplus://offline/ref=96459022ABE20A108D85BEE2D3621143054DC5C34EB520EB0F6C35846B7A5EF7567D569A7C466B9DE88CCEF355F1BFE8DB7976766ECB33022F6DD0sAq0F" TargetMode="External"/><Relationship Id="rId12" Type="http://schemas.openxmlformats.org/officeDocument/2006/relationships/hyperlink" Target="consultantplus://offline/ref=96459022ABE20A108D85BEE2D3621143054DC5C34EB520EB0F6C35846B7A5EF7567D569A7C466B9DE88CC0F555F1BFE8DB7976766ECB33022F6DD0sAq0F" TargetMode="External"/><Relationship Id="rId13" Type="http://schemas.openxmlformats.org/officeDocument/2006/relationships/hyperlink" Target="consultantplus://offline/ref=96459022ABE20A108D85BEE2D3621143054DC5C34EB520EB0F6C35846B7A5EF7567D569A7C466B9DE88CCEF355F1BFE8DB7976766ECB33022F6DD0sAq0F" TargetMode="External"/><Relationship Id="rId14" Type="http://schemas.openxmlformats.org/officeDocument/2006/relationships/hyperlink" Target="consultantplus://offline/ref=96459022ABE20A108D85BEE2D3621143054DC5C34EB520EB0F6C35846B7A5EF7567D569A7C466B9DE88CCEF555F1BFE8DB7976766ECB33022F6DD0sAq0F" TargetMode="Externa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LibreOffice/7.0.1.2$Windows_X86_64 LibreOffice_project/7cbcfc562f6eb6708b5ff7d7397325de9e764452</Application>
  <Pages>4</Pages>
  <Words>1345</Words>
  <Characters>10933</Characters>
  <CharactersWithSpaces>12236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2021-10-01T14:24:00Z</dcterms:created>
  <dc:creator>User</dc:creator>
  <dc:description/>
  <dc:language>ru-RU</dc:language>
  <cp:lastModifiedBy/>
  <dcterms:modified xsi:type="dcterms:W3CDTF">2021-10-25T08:32:41Z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